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13271E">
        <w:rPr>
          <w:sz w:val="26"/>
          <w:szCs w:val="26"/>
        </w:rPr>
        <w:t>14.11.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</w:t>
      </w:r>
      <w:r w:rsidR="0013271E">
        <w:rPr>
          <w:sz w:val="26"/>
          <w:szCs w:val="26"/>
        </w:rPr>
        <w:t>1010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00471C">
        <w:rPr>
          <w:sz w:val="28"/>
        </w:rPr>
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00471C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00471C">
              <w:rPr>
                <w:rFonts w:ascii="Times New Roman" w:hAnsi="Times New Roman"/>
                <w:b/>
              </w:rPr>
              <w:t>740000000021898550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00471C" w:rsidRDefault="0000471C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00471C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00471C"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00471C" w:rsidRDefault="00B53747" w:rsidP="003F0852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00471C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00471C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00471C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00471C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00471C">
              <w:rPr>
                <w:rFonts w:ascii="Times New Roman" w:hAnsi="Times New Roman"/>
              </w:rPr>
              <w:t xml:space="preserve"> области от</w:t>
            </w:r>
            <w:r w:rsidR="00C07F2B" w:rsidRPr="0000471C">
              <w:rPr>
                <w:rFonts w:ascii="Times New Roman" w:hAnsi="Times New Roman"/>
              </w:rPr>
              <w:t xml:space="preserve"> 2</w:t>
            </w:r>
            <w:r w:rsidR="00177A1F" w:rsidRPr="0000471C">
              <w:rPr>
                <w:rFonts w:ascii="Times New Roman" w:hAnsi="Times New Roman"/>
              </w:rPr>
              <w:t>4.10</w:t>
            </w:r>
            <w:r w:rsidR="00C07F2B" w:rsidRPr="0000471C">
              <w:rPr>
                <w:rFonts w:ascii="Times New Roman" w:hAnsi="Times New Roman"/>
              </w:rPr>
              <w:t>.201</w:t>
            </w:r>
            <w:r w:rsidR="007A35F4" w:rsidRPr="0000471C">
              <w:rPr>
                <w:rFonts w:ascii="Times New Roman" w:hAnsi="Times New Roman"/>
              </w:rPr>
              <w:t>7</w:t>
            </w:r>
            <w:r w:rsidR="00C07F2B" w:rsidRPr="0000471C">
              <w:rPr>
                <w:rFonts w:ascii="Times New Roman" w:hAnsi="Times New Roman"/>
              </w:rPr>
              <w:t xml:space="preserve">г. № </w:t>
            </w:r>
            <w:r w:rsidR="007A35F4" w:rsidRPr="0000471C">
              <w:rPr>
                <w:rFonts w:ascii="Times New Roman" w:hAnsi="Times New Roman"/>
              </w:rPr>
              <w:t>8</w:t>
            </w:r>
            <w:r w:rsidR="00316127" w:rsidRPr="0000471C">
              <w:rPr>
                <w:rFonts w:ascii="Times New Roman" w:hAnsi="Times New Roman"/>
              </w:rPr>
              <w:t>9</w:t>
            </w:r>
            <w:r w:rsidR="003F0852">
              <w:rPr>
                <w:rFonts w:ascii="Times New Roman" w:hAnsi="Times New Roman"/>
              </w:rPr>
              <w:t>6</w:t>
            </w:r>
            <w:r w:rsidR="00C07F2B" w:rsidRPr="0000471C">
              <w:rPr>
                <w:rFonts w:ascii="Times New Roman" w:hAnsi="Times New Roman"/>
              </w:rPr>
              <w:t xml:space="preserve"> </w:t>
            </w:r>
            <w:r w:rsidR="00814D40" w:rsidRPr="0000471C">
              <w:rPr>
                <w:rFonts w:ascii="Times New Roman" w:hAnsi="Times New Roman"/>
              </w:rPr>
              <w:t>«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C07F2B" w:rsidRPr="0000471C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00471C" w:rsidRDefault="0000471C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00471C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00471C">
              <w:rPr>
                <w:rFonts w:ascii="Times New Roman" w:hAnsi="Times New Roman"/>
                <w:b/>
              </w:rPr>
              <w:t xml:space="preserve">1.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A2397" w:rsidRPr="006D58FF" w:rsidRDefault="004A2397" w:rsidP="004A2397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3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заявление об установлении сервитута направлено в орган исполнительной власти или орган местного </w:t>
            </w:r>
            <w:r w:rsidRPr="006D58FF">
              <w:rPr>
                <w:rFonts w:ascii="Times New Roman" w:hAnsi="Times New Roman"/>
                <w:bCs/>
                <w:sz w:val="20"/>
                <w:szCs w:val="20"/>
              </w:rPr>
              <w:t>самоуправления, которые не вправе заключать соглашение об установлении сервитута;</w:t>
            </w:r>
          </w:p>
          <w:p w:rsidR="006D58FF" w:rsidRPr="006D58FF" w:rsidRDefault="006D58FF" w:rsidP="006D58FF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D58FF">
              <w:rPr>
                <w:rFonts w:ascii="Times New Roman" w:hAnsi="Times New Roman"/>
                <w:bCs/>
                <w:sz w:val="20"/>
                <w:szCs w:val="20"/>
              </w:rPr>
              <w:t xml:space="preserve">нарушения требований федерального законодательства, законов Челябинской области, муниципальных правовых актов </w:t>
            </w:r>
            <w:proofErr w:type="spellStart"/>
            <w:proofErr w:type="gramStart"/>
            <w:r w:rsidRPr="006D58FF">
              <w:rPr>
                <w:rFonts w:ascii="Times New Roman" w:hAnsi="Times New Roman"/>
                <w:bCs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6D58FF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муниципального района, требований настоящего регламента;</w:t>
            </w:r>
          </w:p>
          <w:p w:rsidR="00A80666" w:rsidRPr="004A2397" w:rsidRDefault="006D58FF" w:rsidP="006D58FF">
            <w:pPr>
              <w:ind w:left="-108"/>
              <w:jc w:val="both"/>
              <w:rPr>
                <w:rFonts w:ascii="Times New Roman" w:hAnsi="Times New Roman"/>
                <w:lang w:eastAsia="ar-SA"/>
              </w:rPr>
            </w:pPr>
            <w:r w:rsidRPr="006D58FF">
              <w:rPr>
                <w:rFonts w:ascii="Times New Roman" w:hAnsi="Times New Roman"/>
                <w:bCs/>
                <w:sz w:val="20"/>
                <w:szCs w:val="20"/>
              </w:rPr>
              <w:t>предоставления поддельных документов, документов, утративших силу, недействительных документов</w:t>
            </w:r>
            <w:r w:rsidR="00A80666" w:rsidRPr="004A2397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00471C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00471C">
              <w:rPr>
                <w:rFonts w:ascii="Times New Roman" w:hAnsi="Times New Roman"/>
                <w:b/>
              </w:rPr>
              <w:t>1</w:t>
            </w:r>
            <w:r w:rsidR="0000471C">
              <w:rPr>
                <w:rFonts w:ascii="Times New Roman" w:hAnsi="Times New Roman"/>
                <w:b/>
              </w:rPr>
              <w:t xml:space="preserve">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Лица без гражданства;</w:t>
            </w:r>
          </w:p>
          <w:p w:rsidR="0078406B" w:rsidRPr="00AE3BCE" w:rsidRDefault="00713DE3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Иностранные юридические лица</w:t>
            </w:r>
            <w:r w:rsidR="00941FAA"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</w:t>
            </w:r>
            <w:r w:rsidR="00E06B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>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Доверенность должна быть нотариально удостоверена и оформлена </w:t>
            </w: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BC204D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2835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1842" w:type="dxa"/>
          </w:tcPr>
          <w:p w:rsidR="00E06B0A" w:rsidRPr="009970E3" w:rsidRDefault="00E06B0A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6B0A" w:rsidRPr="00EC1DA3" w:rsidRDefault="00E06B0A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1A6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B508DA" w:rsidRDefault="00B508DA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C628B5" w:rsidRPr="0000471C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CD1905" w:rsidRPr="008E210B" w:rsidRDefault="008E210B" w:rsidP="00131F0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на земельны</w:t>
            </w:r>
            <w:r w:rsidR="00131F0F"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уч</w:t>
            </w:r>
            <w:r w:rsidR="0003479B">
              <w:rPr>
                <w:rFonts w:ascii="Times New Roman" w:hAnsi="Times New Roman"/>
                <w:sz w:val="20"/>
                <w:szCs w:val="20"/>
              </w:rPr>
              <w:t>аст</w:t>
            </w:r>
            <w:r w:rsidR="00131F0F">
              <w:rPr>
                <w:rFonts w:ascii="Times New Roman" w:hAnsi="Times New Roman"/>
                <w:sz w:val="20"/>
                <w:szCs w:val="20"/>
              </w:rPr>
              <w:t>о</w:t>
            </w:r>
            <w:r w:rsidR="0003479B">
              <w:rPr>
                <w:rFonts w:ascii="Times New Roman" w:hAnsi="Times New Roman"/>
                <w:sz w:val="20"/>
                <w:szCs w:val="20"/>
              </w:rPr>
              <w:t>к</w:t>
            </w:r>
            <w:r w:rsidR="00131F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79B">
              <w:rPr>
                <w:rFonts w:ascii="Times New Roman" w:hAnsi="Times New Roman"/>
                <w:sz w:val="20"/>
                <w:szCs w:val="20"/>
              </w:rPr>
              <w:t>(части земельного участка)</w:t>
            </w:r>
          </w:p>
        </w:tc>
        <w:tc>
          <w:tcPr>
            <w:tcW w:w="2126" w:type="dxa"/>
          </w:tcPr>
          <w:p w:rsidR="00CD1905" w:rsidRPr="008E210B" w:rsidRDefault="00131F0F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>выписка из ЕГРН на земельны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Pr="00662F33">
              <w:rPr>
                <w:rFonts w:ascii="Times New Roman" w:hAnsi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/>
                <w:sz w:val="20"/>
                <w:szCs w:val="20"/>
              </w:rPr>
              <w:t>асток (части земельного участка)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00471C">
              <w:rPr>
                <w:rFonts w:ascii="Times New Roman" w:hAnsi="Times New Roman"/>
                <w:sz w:val="28"/>
              </w:rPr>
              <w:t>.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373A12" w:rsidRPr="00373A12" w:rsidRDefault="00373A12" w:rsidP="00373A1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3A12">
              <w:rPr>
                <w:rFonts w:ascii="Times New Roman" w:eastAsiaTheme="minorHAnsi" w:hAnsi="Times New Roman"/>
                <w:sz w:val="20"/>
                <w:szCs w:val="20"/>
              </w:rPr>
              <w:t>Решение о предоставлении муниципальной услуги:</w:t>
            </w:r>
          </w:p>
          <w:p w:rsidR="00233B6F" w:rsidRPr="00FD5ADA" w:rsidRDefault="00373A12" w:rsidP="00373A12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3A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73A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соглашение о прекращении сервитута, установленного в отношении земельного участка, находящегося в </w:t>
            </w:r>
            <w:r w:rsidRPr="00373A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 или государственная собственность на который не разграничена</w:t>
            </w:r>
            <w:r w:rsidR="00824034" w:rsidRPr="00373A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8E210B" w:rsidRPr="0000471C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 xml:space="preserve">Передача дела специалистом МФЦ в Комитет, если заявитель обратился в МФЦ (передача пакета документов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="00742544"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="00742544"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742544" w:rsidP="007425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="00CB6F1A"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742544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3C7A88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00471C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00471C">
              <w:rPr>
                <w:rFonts w:ascii="Times New Roman" w:hAnsi="Times New Roman"/>
                <w:b/>
              </w:rPr>
              <w:t xml:space="preserve">1. </w:t>
            </w:r>
            <w:r w:rsidR="0000471C" w:rsidRPr="0000471C">
              <w:rPr>
                <w:rFonts w:ascii="Times New Roman" w:hAnsi="Times New Roman"/>
              </w:rPr>
      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разграничена.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0">
    <w:nsid w:val="4D4630E4"/>
    <w:multiLevelType w:val="hybridMultilevel"/>
    <w:tmpl w:val="C88079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5C1D27"/>
    <w:multiLevelType w:val="hybridMultilevel"/>
    <w:tmpl w:val="012EAA4C"/>
    <w:lvl w:ilvl="0" w:tplc="42E24D66">
      <w:start w:val="1"/>
      <w:numFmt w:val="decimal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7"/>
  </w:num>
  <w:num w:numId="5">
    <w:abstractNumId w:val="1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3"/>
  </w:num>
  <w:num w:numId="14">
    <w:abstractNumId w:val="15"/>
  </w:num>
  <w:num w:numId="15">
    <w:abstractNumId w:val="6"/>
  </w:num>
  <w:num w:numId="16">
    <w:abstractNumId w:val="2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92C"/>
    <w:rsid w:val="0000471C"/>
    <w:rsid w:val="00017934"/>
    <w:rsid w:val="0003479B"/>
    <w:rsid w:val="00064EF2"/>
    <w:rsid w:val="0007094D"/>
    <w:rsid w:val="000732A9"/>
    <w:rsid w:val="000C05ED"/>
    <w:rsid w:val="000C4718"/>
    <w:rsid w:val="000F6063"/>
    <w:rsid w:val="0012050F"/>
    <w:rsid w:val="00131F0F"/>
    <w:rsid w:val="0013271E"/>
    <w:rsid w:val="00136EAF"/>
    <w:rsid w:val="00144F0E"/>
    <w:rsid w:val="00177A1F"/>
    <w:rsid w:val="00183330"/>
    <w:rsid w:val="0019286B"/>
    <w:rsid w:val="00192DE5"/>
    <w:rsid w:val="001A61EE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C43E1"/>
    <w:rsid w:val="002D7C32"/>
    <w:rsid w:val="002F3305"/>
    <w:rsid w:val="00304153"/>
    <w:rsid w:val="00305005"/>
    <w:rsid w:val="00316127"/>
    <w:rsid w:val="00327988"/>
    <w:rsid w:val="0035223F"/>
    <w:rsid w:val="00362D39"/>
    <w:rsid w:val="00373A12"/>
    <w:rsid w:val="003C5FC4"/>
    <w:rsid w:val="003C72CF"/>
    <w:rsid w:val="003C7A88"/>
    <w:rsid w:val="003D289A"/>
    <w:rsid w:val="003F0852"/>
    <w:rsid w:val="003F53AA"/>
    <w:rsid w:val="003F728D"/>
    <w:rsid w:val="00402E6B"/>
    <w:rsid w:val="00407950"/>
    <w:rsid w:val="004605D6"/>
    <w:rsid w:val="00464EF8"/>
    <w:rsid w:val="00474A30"/>
    <w:rsid w:val="00495EB4"/>
    <w:rsid w:val="004A2397"/>
    <w:rsid w:val="004C6129"/>
    <w:rsid w:val="004C6896"/>
    <w:rsid w:val="004D2692"/>
    <w:rsid w:val="004E45EE"/>
    <w:rsid w:val="0051592C"/>
    <w:rsid w:val="005327E9"/>
    <w:rsid w:val="00533937"/>
    <w:rsid w:val="00534BCC"/>
    <w:rsid w:val="00536FE1"/>
    <w:rsid w:val="00540CF9"/>
    <w:rsid w:val="0055193F"/>
    <w:rsid w:val="0056453C"/>
    <w:rsid w:val="005740C6"/>
    <w:rsid w:val="005814D6"/>
    <w:rsid w:val="00597D32"/>
    <w:rsid w:val="005B18F6"/>
    <w:rsid w:val="005C5F75"/>
    <w:rsid w:val="005E08BF"/>
    <w:rsid w:val="005E52B5"/>
    <w:rsid w:val="00601762"/>
    <w:rsid w:val="006503D7"/>
    <w:rsid w:val="00662F33"/>
    <w:rsid w:val="00676F0F"/>
    <w:rsid w:val="00687E06"/>
    <w:rsid w:val="006A3132"/>
    <w:rsid w:val="006B0E79"/>
    <w:rsid w:val="006D58FF"/>
    <w:rsid w:val="006D6F16"/>
    <w:rsid w:val="006E4F2E"/>
    <w:rsid w:val="006E57A3"/>
    <w:rsid w:val="00713DE3"/>
    <w:rsid w:val="007217A4"/>
    <w:rsid w:val="0073549E"/>
    <w:rsid w:val="00742544"/>
    <w:rsid w:val="00776E86"/>
    <w:rsid w:val="0078406B"/>
    <w:rsid w:val="00792957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C737E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08DA"/>
    <w:rsid w:val="00B53747"/>
    <w:rsid w:val="00B7431D"/>
    <w:rsid w:val="00BB106D"/>
    <w:rsid w:val="00BC204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C3E04"/>
    <w:rsid w:val="00ED7556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11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18679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89</cp:revision>
  <cp:lastPrinted>2017-11-15T10:15:00Z</cp:lastPrinted>
  <dcterms:created xsi:type="dcterms:W3CDTF">2016-04-14T07:57:00Z</dcterms:created>
  <dcterms:modified xsi:type="dcterms:W3CDTF">2017-11-15T10:15:00Z</dcterms:modified>
</cp:coreProperties>
</file>